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left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附件3</w:t>
      </w:r>
    </w:p>
    <w:p>
      <w:pPr>
        <w:ind w:firstLine="723"/>
        <w:jc w:val="center"/>
        <w:rPr>
          <w:rFonts w:ascii="仿宋" w:hAnsi="仿宋"/>
          <w:b/>
          <w:sz w:val="36"/>
          <w:szCs w:val="32"/>
        </w:rPr>
      </w:pPr>
      <w:r>
        <w:rPr>
          <w:rFonts w:hint="eastAsia" w:ascii="仿宋" w:hAnsi="仿宋"/>
          <w:b/>
          <w:sz w:val="36"/>
          <w:szCs w:val="32"/>
        </w:rPr>
        <w:t xml:space="preserve">审计整改结果检查与对账销号清单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审计项目：                       被审计单位：                      日期：</w:t>
      </w:r>
    </w:p>
    <w:tbl>
      <w:tblPr>
        <w:tblStyle w:val="3"/>
        <w:tblW w:w="14504" w:type="dxa"/>
        <w:tblInd w:w="-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92"/>
        <w:gridCol w:w="1372"/>
        <w:gridCol w:w="1937"/>
        <w:gridCol w:w="1372"/>
        <w:gridCol w:w="1371"/>
        <w:gridCol w:w="1423"/>
        <w:gridCol w:w="1389"/>
        <w:gridCol w:w="2177"/>
        <w:gridCol w:w="15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8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1261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整改检查结果及对账销号清单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886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整改类型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是否销号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销号时间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已整改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正在整改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尚未整改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摘要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整改结果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整改进展情况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主要原因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责任部门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或责任人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2"/>
              <w:jc w:val="center"/>
              <w:rPr>
                <w:rFonts w:hint="default" w:ascii="仿宋_GB2312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8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9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3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217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  <w:tc>
          <w:tcPr>
            <w:tcW w:w="157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2"/>
              <w:jc w:val="center"/>
              <w:rPr>
                <w:rFonts w:hint="default" w:cs="Times New Roman"/>
                <w:b/>
                <w:kern w:val="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2021-12-15T03:22:42Z</dcterms:created>
  <dc:creator>Lenovo</dc:creator>
  <cp:lastModifiedBy>Lenovo</cp:lastModifiedBy>
  <dcterms:modified xsi:type="dcterms:W3CDTF">2021-12-15T03:23:21Z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4BB8CC895BDF459D8DE428CA5160BA9F</vt:lpwstr>
  </property>
</Properties>
</file>